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Animal Rescue Centre — Task Practice Observation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practice on one operational task and the next coaching step; this is not a hiring assessment. Setting: Animal Rescue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Task Practice Observation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practised and demonstration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Steps completed independently and steps needing help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Specific observation or question raised during practice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practice exercise and support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Animal Rescue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Rescue centre area and internal animal or kennel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 crate, bedding or supply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Separation, noise or caretaker handover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klarstig.ai/templates/animal-rescue-centre-task-practice-observation-tl-04702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Animal Rescue Centre — Task Practice Observation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https://klarstig.ai/templates/animal-rescue-centre-task-practice-observation-tl-04702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nimal-rescue-centre-task-practice-observation-tl-0470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nimal-rescue-centre-task-practice-observation-tl-04702" TargetMode="External"/></Relationships>
</file>

<file path=docProps/core.xml><?xml version="1.0" encoding="utf-8"?>
<cp:coreProperties xmlns:cp="http://schemas.openxmlformats.org/package/2006/metadata/core-properties" xmlns:dc="http://purl.org/dc/elements/1.1/">
  <dc:title>Animal Rescue Centre — Task Practice Observation</dc:title>
  <dc:creator>Klarstig</dc:creator>
  <dc:language>en</dc:language>
</cp:coreProperties>
</file>