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Campground — Unused Slot Reallocation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 newly available slot and the conditions for offering it to another activity. Setting: Campground.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Unused Slot Reallocation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Released slot and original booking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Space, staffing or equipment available with the slot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replacement activity and fit with the available slot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People or schedules that need an update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Campground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Pitch, shared facility or arrival-session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Site marker, welcome pack or shared equipment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Vehicle access, quiet hours or ground-condition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klarstig.ai/templates/campground-unused-slot-reallocation-tl-03842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Campground — Unused Slot Reallocation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https://klarstig.ai/templates/campground-unused-slot-reallocation-tl-03842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ampground-unused-slot-reallocation-tl-0384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ampground-unused-slot-reallocation-tl-03842" TargetMode="External"/></Relationships>
</file>

<file path=docProps/core.xml><?xml version="1.0" encoding="utf-8"?>
<cp:coreProperties xmlns:cp="http://schemas.openxmlformats.org/package/2006/metadata/core-properties" xmlns:dc="http://purl.org/dc/elements/1.1/">
  <dc:title>Campground — Unused Slot Reallocation</dc:title>
  <dc:creator>Klarstig</dc:creator>
  <dc:language>en</dc:language>
</cp:coreProperties>
</file>