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Catering Kitchen — Equipment Substitution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why a different piece of equipment is proposed and what compatibility must be checked. Setting: Catering Kitchen.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Equipment Substitution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Original equipment and proposed substitute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Reason the original equipment cannot be used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Required capacity, fittings or output characteristics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Trial or inspection needed before use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Catering Kitchen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Service event and preparation batch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Menu component, container size or service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Batch labels, dispatch timing or equipment-return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klarstig.ai/templates/catering-kitchen-equipment-substitution-request-tl-03413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Catering Kitchen — Equipment Substitution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https://klarstig.ai/templates/catering-kitchen-equipment-substitution-request-tl-03413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atering-kitchen-equipment-substitution-request-tl-0341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atering-kitchen-equipment-substitution-request-tl-03413" TargetMode="External"/></Relationships>
</file>

<file path=docProps/core.xml><?xml version="1.0" encoding="utf-8"?>
<cp:coreProperties xmlns:cp="http://schemas.openxmlformats.org/package/2006/metadata/core-properties" xmlns:dc="http://purl.org/dc/elements/1.1/">
  <dc:title>Catering Kitchen — Equipment Substitution Request</dc:title>
  <dc:creator>Klarstig</dc:creator>
  <dc:language>en</dc:language>
</cp:coreProperties>
</file>