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Event Equipment Rental — Operating Change Notice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the information needed to tell affected people about a practical operating change. Setting: Event Equipment Rental.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Change Notice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Operating change and effective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Previous arrangement and new arrangement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affected and actions they need to take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communication channel and correction contact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Event Equipment Rental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Rental order and dispatch or return bay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Equipment bundle, case number or accessory list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Loading order, setup window or return-count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klarstig.ai/templates/event-equipment-rental-operating-change-notice-brief-tl-04925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Event Equipment Rental — Operating Change Notice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https://klarstig.ai/templates/event-equipment-rental-operating-change-notice-brief-tl-04925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event-equipment-rental-operating-change-notice-brief-tl-0492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event-equipment-rental-operating-change-notice-brief-tl-04925" TargetMode="External"/></Relationships>
</file>

<file path=docProps/core.xml><?xml version="1.0" encoding="utf-8"?>
<cp:coreProperties xmlns:cp="http://schemas.openxmlformats.org/package/2006/metadata/core-properties" xmlns:dc="http://purl.org/dc/elements/1.1/">
  <dc:title>Event Equipment Rental — Operating Change Notice Brief</dc:title>
  <dc:creator>Klarstig</dc:creator>
  <dc:language>en</dc:language>
</cp:coreProperties>
</file>