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Furniture Restoration Workshop — Task Practice Observation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practice on one operational task and the next coaching step; this is not a hiring assessment. Setting: Furniture Restoration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Task Practice Observation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practised and demonstration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Steps completed independently and steps needing help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Specific observation or question raised during practice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practice exercise and support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Furniture Restoration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Restoration-job reference and workshop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Furniture component, finish sample or hardware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space, parts labelling or bulky-item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klarstig.ai/templates/furniture-restoration-workshop-task-practice-observation-tl-04747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Furniture Restoration Workshop — Task Practice Observation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https://klarstig.ai/templates/furniture-restoration-workshop-task-practice-observation-tl-04747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urniture-restoration-workshop-task-practice-observation-tl-0474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urniture-restoration-workshop-task-practice-observation-tl-04747" TargetMode="External"/></Relationships>
</file>

<file path=docProps/core.xml><?xml version="1.0" encoding="utf-8"?>
<cp:coreProperties xmlns:cp="http://schemas.openxmlformats.org/package/2006/metadata/core-properties" xmlns:dc="http://purl.org/dc/elements/1.1/">
  <dc:title>Furniture Restoration Workshop — Task Practice Observation</dc:title>
  <dc:creator>Klarstig</dc:creator>
  <dc:language>en</dc:language>
</cp:coreProperties>
</file>