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Independent Bookshop — Reusable Materials Recovery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reusable materials recovered after an activity and their next storage or use. Setting: Independent Bookshop.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Reusable Materials Recovery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Activity and material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Quantities recovered and condition observed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Cleaning, sorting or repair needed before reuse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Storage destination or next use assigned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Independent Bookshop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Book section, order batch or reading event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Title, edition or stock reference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Shelving order, reserved copies or event-table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klarstig.ai/templates/independent-bookshop-reusable-materials-recovery-tl-05261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Independent Bookshop — Reusable Materials Recovery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https://klarstig.ai/templates/independent-bookshop-reusable-materials-recovery-tl-05261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independent-bookshop-reusable-materials-recovery-tl-0526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independent-bookshop-reusable-materials-recovery-tl-05261" TargetMode="External"/></Relationships>
</file>

<file path=docProps/core.xml><?xml version="1.0" encoding="utf-8"?>
<cp:coreProperties xmlns:cp="http://schemas.openxmlformats.org/package/2006/metadata/core-properties" xmlns:dc="http://purl.org/dc/elements/1.1/">
  <dc:title>Independent Bookshop — Reusable Materials Recovery</dc:title>
  <dc:creator>Klarstig</dc:creator>
  <dc:language>en</dc:language>
</cp:coreProperties>
</file>