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Kayak Rental Base — Operating Change Notice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the information needed to tell affected people about a practical operating change. Setting: Kayak Rental Base.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Change Notice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Operating change and effective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Previous arrangement and new arrangement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affected and actions they need to take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communication channel and correction contact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Kayak Rental Base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Launch session and equipment-rack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Craft reference, paddle size or buoyancy-kit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Weather review, launch access or returned-kit drying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klarstig.ai/templates/kayak-rental-base-operating-change-notice-brief-tl-04940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Kayak Rental Base — Operating Change Notice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https://klarstig.ai/templates/kayak-rental-base-operating-change-notice-brief-tl-04940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kayak-rental-base-operating-change-notice-brief-tl-0494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kayak-rental-base-operating-change-notice-brief-tl-04940" TargetMode="External"/></Relationships>
</file>

<file path=docProps/core.xml><?xml version="1.0" encoding="utf-8"?>
<cp:coreProperties xmlns:cp="http://schemas.openxmlformats.org/package/2006/metadata/core-properties" xmlns:dc="http://purl.org/dc/elements/1.1/">
  <dc:title>Kayak Rental Base — Operating Change Notice Brief</dc:title>
  <dc:creator>Klarstig</dc:creator>
  <dc:language>en</dc:language>
</cp:coreProperties>
</file>