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Makerspace — Operating Change Notice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the information needed to tell affected people about a practical operating change. Setting: Makerspace.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Operating Change Notice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Operating change and effective session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Previous arrangement and new arrangement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People affected and actions they need to take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communication channel and correction contact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Makerspace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 zone, project session or machine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thickness, tool setup or project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Supervision, extraction, setup-change or storage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klarstig.ai/templates/makerspace-operating-change-notice-brief-tl-04919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Makerspace — Operating Change Notice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https://klarstig.ai/templates/makerspace-operating-change-notice-brief-tl-04919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makerspace-operating-change-notice-brief-tl-0491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makerspace-operating-change-notice-brief-tl-04919" TargetMode="External"/></Relationships>
</file>

<file path=docProps/core.xml><?xml version="1.0" encoding="utf-8"?>
<cp:coreProperties xmlns:cp="http://schemas.openxmlformats.org/package/2006/metadata/core-properties" xmlns:dc="http://purl.org/dc/elements/1.1/">
  <dc:title>Makerspace — Operating Change Notice Brief</dc:title>
  <dc:creator>Klarstig</dc:creator>
  <dc:language>en</dc:language>
</cp:coreProperties>
</file>