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Shoe Repair Shop — Task Practice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practice on one operational task and the next coaching step; this is not a hiring assessment. Setting: Shoe Repair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Task Practice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practised and demonstration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completed independently and steps needing help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Specific observation or question raised during practice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practice exercise and support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Shoe Repair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Repair-ticket reference and workbench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Footwear type, sole material or replacement component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Adhesive curing, colour matching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klarstig.ai/templates/shoe-repair-shop-task-practice-observation-tl-04735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Shoe Repair Shop — Task Practice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https://klarstig.ai/templates/shoe-repair-shop-task-practice-observation-tl-04735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shoe-repair-shop-task-practice-observation-tl-0473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shoe-repair-shop-task-practice-observation-tl-04735" TargetMode="External"/></Relationships>
</file>

<file path=docProps/core.xml><?xml version="1.0" encoding="utf-8"?>
<cp:coreProperties xmlns:cp="http://schemas.openxmlformats.org/package/2006/metadata/core-properties" xmlns:dc="http://purl.org/dc/elements/1.1/">
  <dc:title>Shoe Repair Shop — Task Practice Observation</dc:title>
  <dc:creator>Klarstig</dc:creator>
  <dc:language>en</dc:language>
</cp:coreProperties>
</file>