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Taller de bicicletas — Ficha de aviso de cambio operativo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Prepare la información necesaria para comunicar un cambio operativo a las personas afectadas. Entorno: Taller de bicicletas.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Ficha de aviso de cambio operativo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Cambio operativo y sesión de entrada en vigor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Organización anterior y nueva organización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Personas afectadas y acciones que deben realizar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Canal de comunicación propuesto y contacto para correcciones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Taller de bicicletas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Puesto de taller y referencia del trabajo de reparación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Tipo de bicicleta, medida del componente o referencia de piezas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Compatibilidad de piezas, espacio de almacenamiento u organización de recogida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klarstig.ai/es/templates/bicycle-workshop-operating-change-notice-brief-tl-04912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Taller de bicicletas — Ficha de aviso de cambio operativo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https://klarstig.ai/es/templates/bicycle-workshop-operating-change-notice-brief-tl-04912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bicycle-workshop-operating-change-notice-brief-tl-04912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bicycle-workshop-operating-change-notice-brief-tl-04912" TargetMode="External"/></Relationships>
</file>

<file path=docProps/core.xml><?xml version="1.0" encoding="utf-8"?>
<cp:coreProperties xmlns:cp="http://schemas.openxmlformats.org/package/2006/metadata/core-properties" xmlns:dc="http://purl.org/dc/elements/1.1/">
  <dc:title>Taller de bicicletas — Ficha de aviso de cambio operativo</dc:title>
  <dc:creator>Klarstig</dc:creator>
  <dc:language>es</dc:language>
</cp:coreProperties>
</file>