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Cafetería de juegos de mesa — Instrucciones de corrección de trabajo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Especifique qué parte de un trabajo terminado debe corregirse y cómo se comprobará. Entorno: Cafetería de juegos de mesa.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Instrucciones de corrección de trabajo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trabajo original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Diferencia observada respecto al resultado acordado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Alcance de la corrección y partes que deben conservarse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Comprobaciones de aceptación del trabajo corregido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Cafetería de juegos de mesa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Reserva de mesa, sesión o referencia de estante de juegos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Edición del juego, conjunto de piezas o kit de mesa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Recuento de piezas, idioma de reglas o rotación de mesas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klarstig.ai/es/templates/board-game-cafe-rework-instructions-tl-04450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Cafetería de juegos de mesa — Instrucciones de corrección de trabajo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https://klarstig.ai/es/templates/board-game-cafe-rework-instructions-tl-04450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board-game-cafe-rework-instructions-tl-0445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board-game-cafe-rework-instructions-tl-04450" TargetMode="External"/></Relationships>
</file>

<file path=docProps/core.xml><?xml version="1.0" encoding="utf-8"?>
<cp:coreProperties xmlns:cp="http://schemas.openxmlformats.org/package/2006/metadata/core-properties" xmlns:dc="http://purl.org/dc/elements/1.1/">
  <dc:title>Cafetería de juegos de mesa — Instrucciones de corrección de trabajo</dc:title>
  <dc:creator>Klarstig</dc:creator>
  <dc:language>es</dc:language>
</cp:coreProperties>
</file>