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Banco comunitario de alimentos — Instrucciones para reorganizar un espacio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la distribución y los materiales necesarios al cambiar el uso de un espacio. Entorno: Banco comunitario de alimentos.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para reorganizar un espacio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y próxima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Distribución necesaria y elementos que deben moverse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deben conservarse, retirarse o reponerse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Puntos que deben comprobarse en la revisión final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Banco comunitario de alimentos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distribución y punto de recogida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del lote de alimentos o referencia de existencias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rotación, embalaje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klarstig.ai/es/templates/community-food-pantry-workspace-reset-instructions-tl-03501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Banco comunitario de alimentos — Instrucciones para reorganizar un espacio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https://klarstig.ai/es/templates/community-food-pantry-workspace-reset-instructions-tl-03501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food-pantry-workspace-reset-instructions-tl-0350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food-pantry-workspace-reset-instructions-tl-03501" TargetMode="External"/></Relationships>
</file>

<file path=docProps/core.xml><?xml version="1.0" encoding="utf-8"?>
<cp:coreProperties xmlns:cp="http://schemas.openxmlformats.org/package/2006/metadata/core-properties" xmlns:dc="http://purl.org/dc/elements/1.1/">
  <dc:title>Banco comunitario de alimentos — Instrucciones para reorganizar un espacio</dc:title>
  <dc:creator>Klarstig</dc:creator>
  <dc:language>es</dc:language>
</cp:coreProperties>
</file>