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Cocina comunitaria — Solicitud de sustitución de equipo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Indique por qué se propone otro equipo y qué compatibilidad debe comprobarse. Entorno: Cocina comunitaria.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Solicitud de sustitución de equipo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original y sustituto propuesto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Motivo por el que no puede utilizarse el equipo original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Capacidad, conexiones o características de salida necesarias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Prueba o inspección necesaria antes del uso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Cocina comunitaria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cocina y zona compartida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Juego de utensilios, lote de ingredientes o estante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Horario de uso compartido, relevo de limpieza o devolución de recipientes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klarstig.ai/es/templates/community-kitchen-equipment-substitution-request-tl-03432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Cocina comunitaria — Solicitud de sustitución de equipo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https://klarstig.ai/es/templates/community-kitchen-equipment-substitution-request-tl-03432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ommunity-kitchen-equipment-substitution-request-tl-03432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ommunity-kitchen-equipment-substitution-request-tl-03432" TargetMode="External"/></Relationships>
</file>

<file path=docProps/core.xml><?xml version="1.0" encoding="utf-8"?>
<cp:coreProperties xmlns:cp="http://schemas.openxmlformats.org/package/2006/metadata/core-properties" xmlns:dc="http://purl.org/dc/elements/1.1/">
  <dc:title>Cocina comunitaria — Solicitud de sustitución de equipo</dc:title>
  <dc:creator>Klarstig</dc:creator>
  <dc:language>es</dc:language>
</cp:coreProperties>
</file>