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Tienda de granja — Resolución de un conflicto de recursos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necesidades simultáneas de un recurso compartido y proponga una asignación viable. Entorno: Tienda de granja.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Resolución de un conflicto de recursos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Recurso y actividades que se solapan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horario, capacidad y prioridad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Alternativas posibles y sus inconvenientes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Asignación propuesta y equipos que deben consultarse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Tienda de granja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Exposición en tienda, horario de recogida o lote de productos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 producto, tamaño de recipiente o etiqueta de lote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de cosecha, rotación de existencias o recogida del cliente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klarstig.ai/es/templates/farm-shop-shared-resource-conflict-resolution-tl-04294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Tienda de granja — Resolución de un conflicto de recursos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https://klarstig.ai/es/templates/farm-shop-shared-resource-conflict-resolution-tl-04294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arm-shop-shared-resource-conflict-resolution-tl-0429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arm-shop-shared-resource-conflict-resolution-tl-04294" TargetMode="External"/></Relationships>
</file>

<file path=docProps/core.xml><?xml version="1.0" encoding="utf-8"?>
<cp:coreProperties xmlns:cp="http://schemas.openxmlformats.org/package/2006/metadata/core-properties" xmlns:dc="http://purl.org/dc/elements/1.1/">
  <dc:title>Tienda de granja — Resolución de un conflicto de recursos</dc:title>
  <dc:creator>Klarstig</dc:creator>
  <dc:language>es</dc:language>
</cp:coreProperties>
</file>