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Librería independiente — Horario excepcional de apertura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cambio puntual de horario y su impacto en el trabajo previsto. Entorno: Librería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Horario excepcional de apertura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o sesión con horario excepcional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habitual y horas de apertura o cierre propuestas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Reservas, entregas o personal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 y actualizaciones de horarios necesarios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Librería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Sección de libros, lote de pedidos o acto de lectura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Título, edición o referencia de existencias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colocación, ejemplares reservados o mesas para el acto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klarstig.ai/es/templates/independent-bookshop-exceptional-opening-hours-tl-04961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Librería independiente — Horario excepcional de apertura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https://klarstig.ai/es/templates/independent-bookshop-exceptional-opening-hours-tl-04961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bookshop-exceptional-opening-hours-tl-0496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bookshop-exceptional-opening-hours-tl-04961" TargetMode="External"/></Relationships>
</file>

<file path=docProps/core.xml><?xml version="1.0" encoding="utf-8"?>
<cp:coreProperties xmlns:cp="http://schemas.openxmlformats.org/package/2006/metadata/core-properties" xmlns:dc="http://purl.org/dc/elements/1.1/">
  <dc:title>Librería independiente — Horario excepcional de apertura</dc:title>
  <dc:creator>Klarstig</dc:creator>
  <dc:language>es</dc:language>
</cp:coreProperties>
</file>