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Museo independiente — Clasificación inicial de una avería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los problemas observables y su impacto antes de asignar una reparación. Entorno: Museo independiente.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Clasificación inicial de una avería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Síntomas observados y cuándo aparecen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Trabajo afectado y equipo alternativo disponible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Medidas ya tomadas y resultados observados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Museo independiente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Galería, vitrina o referencia de visita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expositivo o referencia interna de objeto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manipulación, colocación de cartelas o circulación por la sala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klarstig.ai/es/templates/independent-museum-equipment-fault-triage-tl-03359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Museo independiente — Clasificación inicial de una avería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https://klarstig.ai/es/templates/independent-museum-equipment-fault-triage-tl-03359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independent-museum-equipment-fault-triage-tl-0335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independent-museum-equipment-fault-triage-tl-03359" TargetMode="External"/></Relationships>
</file>

<file path=docProps/core.xml><?xml version="1.0" encoding="utf-8"?>
<cp:coreProperties xmlns:cp="http://schemas.openxmlformats.org/package/2006/metadata/core-properties" xmlns:dc="http://purl.org/dc/elements/1.1/">
  <dc:title>Museo independiente — Clasificación inicial de una avería</dc:title>
  <dc:creator>Klarstig</dc:creator>
  <dc:language>es</dc:language>
</cp:coreProperties>
</file>