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Servicio de lavandería — Reasignación de un horario libre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horario liberado y las condiciones para ofrecerlo a otra actividad. Entorno: Servicio de lavandería.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Reasignación de un horario libre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liberado y referencia de la reserva original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Espacio, personal o equipo disponible en ese horario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sustitutiva propuesta y adecuación al horario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Personas u horarios que deben actualizarse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Servicio de lavandería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ropa y puesto de clasificación o acabado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textil, referencia de bolsa o grupo de lavado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Correspondencia de etiquetas, método de secado o agrupación para devolución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klarstig.ai/es/templates/laundry-service-unused-slot-reallocation-tl-03834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Servicio de lavandería — Reasignación de un horario libre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https://klarstig.ai/es/templates/laundry-service-unused-slot-reallocation-tl-03834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laundry-service-unused-slot-reallocation-tl-0383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laundry-service-unused-slot-reallocation-tl-03834" TargetMode="External"/></Relationships>
</file>

<file path=docProps/core.xml><?xml version="1.0" encoding="utf-8"?>
<cp:coreProperties xmlns:cp="http://schemas.openxmlformats.org/package/2006/metadata/core-properties" xmlns:dc="http://purl.org/dc/elements/1.1/">
  <dc:title>Servicio de lavandería — Reasignación de un horario libre</dc:title>
  <dc:creator>Klarstig</dc:creator>
  <dc:language>es</dc:language>
</cp:coreProperties>
</file>