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Taller de fabricación compartido — Reasignación de un horario libre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Registre un horario liberado y las condiciones para ofrecerlo a otra actividad. Entorno: Taller de fabricación compartido.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Reasignación de un horario libre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Horario liberado y referencia de la reserva original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Espacio, personal o equipo disponible en ese horario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Actividad sustitutiva propuesta y adecuación al horario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Personas u horarios que deben actualizarse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Taller de fabricación compartido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Zona de trabajo, sesión de proyecto o puesto de máquina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Espesor del material, configuración de herramienta o referencia del proyecto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Necesidades de supervisión, extracción, cambio de configuración o almacenamiento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klarstig.ai/es/templates/makerspace-unused-slot-reallocation-tl-03819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Taller de fabricación compartido — Reasignación de un horario libre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https://klarstig.ai/es/templates/makerspace-unused-slot-reallocation-tl-03819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makerspace-unused-slot-reallocation-tl-03819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makerspace-unused-slot-reallocation-tl-03819" TargetMode="External"/></Relationships>
</file>

<file path=docProps/core.xml><?xml version="1.0" encoding="utf-8"?>
<cp:coreProperties xmlns:cp="http://schemas.openxmlformats.org/package/2006/metadata/core-properties" xmlns:dc="http://purl.org/dc/elements/1.1/">
  <dc:title>Taller de fabricación compartido — Reasignación de un horario libre</dc:title>
  <dc:creator>Klarstig</dc:creator>
  <dc:language>es</dc:language>
</cp:coreProperties>
</file>