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Salas de ensayo musical — Ficha para renovar una exposición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cambios en una presentación pública manteniendo la coherencia de etiquetas y materiales. Entorno: Salas de ensayo musical.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renovar una exposición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exposición y tema de renovación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que deben retirarse, conservarse e introducirse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Distribución, etiquetas e información complementaria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finales de presentación y materiales que deben guardarse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Salas de ensayo musical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ensayo y referencia de sala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Soporte de instrumento, amplificador o kit de cables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Aislamiento acústico, cambios de montaje o entrega del kit compartido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klarstig.ai/es/templates/music-rehearsal-rooms-display-refresh-brief-tl-05537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Salas de ensayo musical — Ficha para renovar una exposición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https://klarstig.ai/es/templates/music-rehearsal-rooms-display-refresh-brief-tl-05537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usic-rehearsal-rooms-display-refresh-brief-tl-0553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usic-rehearsal-rooms-display-refresh-brief-tl-05537" TargetMode="External"/></Relationships>
</file>

<file path=docProps/core.xml><?xml version="1.0" encoding="utf-8"?>
<cp:coreProperties xmlns:cp="http://schemas.openxmlformats.org/package/2006/metadata/core-properties" xmlns:dc="http://purl.org/dc/elements/1.1/">
  <dc:title>Salas de ensayo musical — Ficha para renovar una exposición</dc:title>
  <dc:creator>Klarstig</dc:creator>
  <dc:language>es</dc:language>
</cp:coreProperties>
</file>