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Vivero de plantas — Solicitud de aclaración de un procedimiento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Identifique una instrucción confusa y el ejemplo necesario para aclararla. Entorno: Vivero de plantas.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aclaración de un procedimiento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Nombre, versión y paso del procedimiento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o situación que resulta confusa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Interpretaciones consideradas y efectos prácticos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Ejemplo o decisión necesaria para resolver la duda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Vivero de plantas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Mesa de cultivo, zona de venta o lote de expedición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Variedad de planta, tamaño de maceta o referencia de bandeja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Secuencia de riego, exposición al tiempo o correspondencia de etiquetas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klarstig.ai/es/templates/plant-nursery-procedure-clarification-request-tl-04793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Vivero de plantas — Solicitud de aclaración de un procedimiento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https://klarstig.ai/es/templates/plant-nursery-procedure-clarification-request-tl-04793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lant-nursery-procedure-clarification-request-tl-0479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lant-nursery-procedure-clarification-request-tl-04793" TargetMode="External"/></Relationships>
</file>

<file path=docProps/core.xml><?xml version="1.0" encoding="utf-8"?>
<cp:coreProperties xmlns:cp="http://schemas.openxmlformats.org/package/2006/metadata/core-properties" xmlns:dc="http://purl.org/dc/elements/1.1/">
  <dc:title>Vivero de plantas — Solicitud de aclaración de un procedimiento</dc:title>
  <dc:creator>Klarstig</dc:creator>
  <dc:language>es</dc:language>
</cp:coreProperties>
</file>