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Jardín abierto al público — Resolución de un conflicto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necesidades simultáneas de un recurso compartido y proponga una asignación viable. Entorno: Jardín abierto al público.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Resolución de un conflicto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actividades que se solapan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horario, capacidad y prioridad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Alternativas posibles y sus inconvenientes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Asignación propuesta y equipos que deben consultarse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Jardín abierto al público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parterre, sendero o zona de visitantes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plantas, suministros de jardinería o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temporada, riego o acceso a senderos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klarstig.ai/es/templates/public-garden-shared-resource-conflict-resolution-tl-04254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Jardín abierto al público — Resolución de un conflicto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https://klarstig.ai/es/templates/public-garden-shared-resource-conflict-resolution-tl-04254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ublic-garden-shared-resource-conflict-resolution-tl-0425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ublic-garden-shared-resource-conflict-resolution-tl-04254" TargetMode="External"/></Relationships>
</file>

<file path=docProps/core.xml><?xml version="1.0" encoding="utf-8"?>
<cp:coreProperties xmlns:cp="http://schemas.openxmlformats.org/package/2006/metadata/core-properties" xmlns:dc="http://purl.org/dc/elements/1.1/">
  <dc:title>Jardín abierto al público — Resolución de un conflicto de recursos</dc:title>
  <dc:creator>Klarstig</dc:creator>
  <dc:language>es</dc:language>
</cp:coreProperties>
</file>