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Tienda de reutilización — Instrucciones de embalaje especial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Especifique un cambio de embalaje para un lote y cómo identificar su contenido. Entorno: Tienda de reutilización.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Instrucciones de embalaje especial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Lote o pedido afectado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Embalaje habitual y cambio solicitado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Contenido que debe separarse, protegerse o agruparse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Texto de las etiquetas y comprobación final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Tienda de reutilización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Zona de venta o lote de donaciones entrante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Categoría de artículo reutilizable y referencia de existencias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Necesidades de clasificación, etiquetado del estado o traslado de objetos voluminosos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klarstig.ai/es/templates/reuse-shop-packing-variation-instructions-tl-04107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Tienda de reutilización — Instrucciones de embalaje especial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https://klarstig.ai/es/templates/reuse-shop-packing-variation-instructions-tl-04107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reuse-shop-packing-variation-instructions-tl-04107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reuse-shop-packing-variation-instructions-tl-04107" TargetMode="External"/></Relationships>
</file>

<file path=docProps/core.xml><?xml version="1.0" encoding="utf-8"?>
<cp:coreProperties xmlns:cp="http://schemas.openxmlformats.org/package/2006/metadata/core-properties" xmlns:dc="http://purl.org/dc/elements/1.1/">
  <dc:title>Tienda de reutilización — Instrucciones de embalaje especial</dc:title>
  <dc:creator>Klarstig</dc:creator>
  <dc:language>es</dc:language>
</cp:coreProperties>
</file>