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Biblioteca de herramientas — Resolución de un conflicto de recursos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necesidades simultáneas de un recurso compartido y proponga una asignación viable. Entorno: Biblioteca de herramientas.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Resolución de un conflicto de recursos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 y actividades que se solapan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horario, capacidad y prioridad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Alternativas posibles y sus inconvenientes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Asignación propuesta y equipos que deben consultarse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Biblioteca de herramientas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préstamo y ubicación de herramientas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herramienta, kit de accesorios o maletín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Plazo entre préstamos, comprobación de integridad o demostración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klarstig.ai/es/templates/tool-lending-library-shared-resource-conflict-resolution-tl-04286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Biblioteca de herramientas — Resolución de un conflicto de recursos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https://klarstig.ai/es/templates/tool-lending-library-shared-resource-conflict-resolution-tl-04286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tool-lending-library-shared-resource-conflict-resolution-tl-0428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tool-lending-library-shared-resource-conflict-resolution-tl-04286" TargetMode="External"/></Relationships>
</file>

<file path=docProps/core.xml><?xml version="1.0" encoding="utf-8"?>
<cp:coreProperties xmlns:cp="http://schemas.openxmlformats.org/package/2006/metadata/core-properties" xmlns:dc="http://purl.org/dc/elements/1.1/">
  <dc:title>Biblioteca de herramientas — Resolución de un conflicto de recursos</dc:title>
  <dc:creator>Klarstig</dc:creator>
  <dc:language>es</dc:language>
</cp:coreProperties>
</file>