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des prêts de matériel partagé</w:t>
      </w:r>
    </w:p>
    <w:p>
      <w:pPr>
        <w:spacing w:after="200"/>
      </w:pPr>
      <w:r>
        <w:rPr>
          <w:rFonts w:ascii="Arial" w:hAnsi="Arial" w:cs="Arial"/>
          <w:color w:val="5F6B76"/>
          <w:sz w:val="20"/>
        </w:rPr>
        <w:t xml:space="preserve">Suivez la remise temporaire de matériel et les contrôles prévus au retour.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klarstig.ai/fr/templates/adult-learning-centre-shared-equipment-loan-log-tl-03308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https://klarstig.ai/fr/templates/adult-learning-centre-shared-equipment-loan-log-tl-03308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hared-equipment-loan-log-tl-033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hared-equipment-loan-log-tl-03308" TargetMode="External"/></Relationships>
</file>

<file path=docProps/core.xml><?xml version="1.0" encoding="utf-8"?>
<cp:coreProperties xmlns:cp="http://schemas.openxmlformats.org/package/2006/metadata/core-properties" xmlns:dc="http://purl.org/dc/elements/1.1/">
  <dc:title>Centre de formation pour adultes — Suivi des prêts de matériel partagé</dc:title>
  <dc:creator>Klarstig</dc:creator>
  <dc:language>fr</dc:language>
</cp:coreProperties>
</file>