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retouches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Atelier de retouches.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retouches</w:t>
      </w:r>
    </w:p>
    <w:p>
      <w:pPr>
        <w:spacing w:after="40"/>
      </w:pPr>
      <w:r>
        <w:rPr>
          <w:rFonts w:ascii="Arial" w:hAnsi="Arial" w:cs="Arial"/>
          <w:b/>
          <w:color w:val="173247"/>
          <w:sz w:val="21"/>
        </w:rPr>
        <w:t xml:space="preserve">Référence de retouche et poste de couture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vêtement, tissu ou mercerie nécessaire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essayages, manipulation du tissu ou délai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klarstig.ai/fr/templates/alterations-workshop-operational-lessons-log-tl-05983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retouches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https://klarstig.ai/fr/templates/alterations-workshop-operational-lessons-log-tl-05983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lterations-workshop-operational-lessons-log-tl-0598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lterations-workshop-operational-lessons-log-tl-05983" TargetMode="External"/></Relationships>
</file>

<file path=docProps/core.xml><?xml version="1.0" encoding="utf-8"?>
<cp:coreProperties xmlns:cp="http://schemas.openxmlformats.org/package/2006/metadata/core-properties" xmlns:dc="http://purl.org/dc/elements/1.1/">
  <dc:title>Atelier de retouches — Compte rendu des enseignements opérationnels</dc:title>
  <dc:creator>Klarstig</dc:creator>
  <dc:language>fr</dc:language>
</cp:coreProperties>
</file>