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Plan de repli selon la météo</w:t>
      </w:r>
    </w:p>
    <w:p>
      <w:pPr>
        <w:spacing w:after="200"/>
      </w:pPr>
      <w:r>
        <w:rPr>
          <w:rFonts w:ascii="Arial" w:hAnsi="Arial" w:cs="Arial"/>
          <w:color w:val="5F6B76"/>
          <w:sz w:val="20"/>
        </w:rPr>
        <w:t xml:space="preserve">Prévoyez une solution de repli si la météo perturbe une activité.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klarstig.ai/fr/templates/alterations-workshop-weather-contingency-plan-tl-05033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https://klarstig.ai/fr/templates/alterations-workshop-weather-contingency-plan-tl-05033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weather-contingency-plan-tl-050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weather-contingency-plan-tl-05033" TargetMode="External"/></Relationships>
</file>

<file path=docProps/core.xml><?xml version="1.0" encoding="utf-8"?>
<cp:coreProperties xmlns:cp="http://schemas.openxmlformats.org/package/2006/metadata/core-properties" xmlns:dc="http://purl.org/dc/elements/1.1/">
  <dc:title>Atelier de retouches — Plan de repli selon la météo</dc:title>
  <dc:creator>Klarstig</dc:creator>
  <dc:language>fr</dc:language>
</cp:coreProperties>
</file>