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Écart à la réception d’une livraison</w:t>
      </w:r>
    </w:p>
    <w:p>
      <w:pPr>
        <w:spacing w:after="200"/>
      </w:pPr>
      <w:r>
        <w:rPr>
          <w:rFonts w:ascii="Arial" w:hAnsi="Arial" w:cs="Arial"/>
          <w:color w:val="5F6B76"/>
          <w:sz w:val="20"/>
        </w:rPr>
        <w:t xml:space="preserve">Comparez une livraison reçue au contenu attendu et consignez l’écart à traiter.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klarstig.ai/fr/templates/animal-rescue-centre-incoming-delivery-variance-tl-03202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https://klarstig.ai/fr/templates/animal-rescue-centre-incoming-delivery-variance-tl-03202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incoming-delivery-variance-tl-032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incoming-delivery-variance-tl-03202" TargetMode="External"/></Relationships>
</file>

<file path=docProps/core.xml><?xml version="1.0" encoding="utf-8"?>
<cp:coreProperties xmlns:cp="http://schemas.openxmlformats.org/package/2006/metadata/core-properties" xmlns:dc="http://purl.org/dc/elements/1.1/">
  <dc:title>Centre de protection animale — Écart à la réception d’une livraison</dc:title>
  <dc:creator>Klarstig</dc:creator>
  <dc:language>fr</dc:language>
</cp:coreProperties>
</file>