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Consignes d’emballage particulier</w:t>
      </w:r>
    </w:p>
    <w:p>
      <w:pPr>
        <w:spacing w:after="200"/>
      </w:pPr>
      <w:r>
        <w:rPr>
          <w:rFonts w:ascii="Arial" w:hAnsi="Arial" w:cs="Arial"/>
          <w:color w:val="5F6B76"/>
          <w:sz w:val="20"/>
        </w:rPr>
        <w:t xml:space="preserve">Précisez une modification d’emballage pour un lot et le repérage de son contenu.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klarstig.ai/fr/templates/animal-rescue-centre-packing-variation-instructions-tl-04102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https://klarstig.ai/fr/templates/animal-rescue-centre-packing-variation-instructions-tl-04102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packing-variation-instructions-tl-041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packing-variation-instructions-tl-04102" TargetMode="External"/></Relationships>
</file>

<file path=docProps/core.xml><?xml version="1.0" encoding="utf-8"?>
<cp:coreProperties xmlns:cp="http://schemas.openxmlformats.org/package/2006/metadata/core-properties" xmlns:dc="http://purl.org/dc/elements/1.1/">
  <dc:title>Centre de protection animale — Consignes d’emballage particulier</dc:title>
  <dc:creator>Klarstig</dc:creator>
  <dc:language>fr</dc:language>
</cp:coreProperties>
</file>