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Suivi d’un engagement fournisseur</w:t>
      </w:r>
    </w:p>
    <w:p>
      <w:pPr>
        <w:spacing w:after="200"/>
      </w:pPr>
      <w:r>
        <w:rPr>
          <w:rFonts w:ascii="Arial" w:hAnsi="Arial" w:cs="Arial"/>
          <w:color w:val="5F6B76"/>
          <w:sz w:val="20"/>
        </w:rPr>
        <w:t xml:space="preserve">Comparez un engagement fournisseur à la réponse ou livraison reçue.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klarstig.ai/fr/templates/animal-rescue-centre-supplier-commitment-follow-up-tl-04552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https://klarstig.ai/fr/templates/animal-rescue-centre-supplier-commitment-follow-up-tl-04552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supplier-commitment-follow-up-tl-0455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supplier-commitment-follow-up-tl-04552" TargetMode="External"/></Relationships>
</file>

<file path=docProps/core.xml><?xml version="1.0" encoding="utf-8"?>
<cp:coreProperties xmlns:cp="http://schemas.openxmlformats.org/package/2006/metadata/core-properties" xmlns:dc="http://purl.org/dc/elements/1.1/">
  <dc:title>Centre de protection animale — Suivi d’un engagement fournisseur</dc:title>
  <dc:creator>Klarstig</dc:creator>
  <dc:language>fr</dc:language>
</cp:coreProperties>
</file>