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Plan de répartition d’un groupe</w:t>
      </w:r>
    </w:p>
    <w:p>
      <w:pPr>
        <w:spacing w:after="200"/>
      </w:pPr>
      <w:r>
        <w:rPr>
          <w:rFonts w:ascii="Arial" w:hAnsi="Arial" w:cs="Arial"/>
          <w:color w:val="5F6B76"/>
          <w:sz w:val="20"/>
        </w:rPr>
        <w:t xml:space="preserve">Proposez la répartition d’un groupe entre espaces, horaires ou animateurs disponibles.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klarstig.ai/fr/templates/bicycle-workshop-group-session-split-plan-tl-05212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https://klarstig.ai/fr/templates/bicycle-workshop-group-session-split-plan-tl-05212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group-session-split-plan-tl-052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group-session-split-plan-tl-05212" TargetMode="External"/></Relationships>
</file>

<file path=docProps/core.xml><?xml version="1.0" encoding="utf-8"?>
<cp:coreProperties xmlns:cp="http://schemas.openxmlformats.org/package/2006/metadata/core-properties" xmlns:dc="http://purl.org/dc/elements/1.1/">
  <dc:title>Atelier vélo — Plan de répartition d’un groupe</dc:title>
  <dc:creator>Klarstig</dc:creator>
  <dc:language>fr</dc:language>
</cp:coreProperties>
</file>