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Consignes d’emballage particulier</w:t>
      </w:r>
    </w:p>
    <w:p>
      <w:pPr>
        <w:spacing w:after="200"/>
      </w:pPr>
      <w:r>
        <w:rPr>
          <w:rFonts w:ascii="Arial" w:hAnsi="Arial" w:cs="Arial"/>
          <w:color w:val="5F6B76"/>
          <w:sz w:val="20"/>
        </w:rPr>
        <w:t xml:space="preserve">Précisez une modification d’emballage pour un lot et le repérage de son contenu.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klarstig.ai/fr/templates/board-game-cafe-packing-variation-instructions-tl-04150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https://klarstig.ai/fr/templates/board-game-cafe-packing-variation-instructions-tl-04150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packing-variation-instructions-tl-041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packing-variation-instructions-tl-04150" TargetMode="External"/></Relationships>
</file>

<file path=docProps/core.xml><?xml version="1.0" encoding="utf-8"?>
<cp:coreProperties xmlns:cp="http://schemas.openxmlformats.org/package/2006/metadata/core-properties" xmlns:dc="http://purl.org/dc/elements/1.1/">
  <dc:title>Café de jeux de société — Consignes d’emballage particulier</dc:title>
  <dc:creator>Klarstig</dc:creator>
  <dc:language>fr</dc:language>
</cp:coreProperties>
</file>