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Bilan d’un essai de procédure</w:t>
      </w:r>
    </w:p>
    <w:p>
      <w:pPr>
        <w:spacing w:after="200"/>
      </w:pPr>
      <w:r>
        <w:rPr>
          <w:rFonts w:ascii="Arial" w:hAnsi="Arial" w:cs="Arial"/>
          <w:color w:val="5F6B76"/>
          <w:sz w:val="20"/>
        </w:rPr>
        <w:t xml:space="preserve">Comparez une procédure testée au résultat attendu avant son adoption élargie.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klarstig.ai/fr/templates/board-game-cafe-procedure-trial-review-tl-04850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https://klarstig.ai/fr/templates/board-game-cafe-procedure-trial-review-tl-04850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procedure-trial-review-tl-048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procedure-trial-review-tl-04850" TargetMode="External"/></Relationships>
</file>

<file path=docProps/core.xml><?xml version="1.0" encoding="utf-8"?>
<cp:coreProperties xmlns:cp="http://schemas.openxmlformats.org/package/2006/metadata/core-properties" xmlns:dc="http://purl.org/dc/elements/1.1/">
  <dc:title>Café de jeux de société — Bilan d’un essai de procédure</dc:title>
  <dc:creator>Klarstig</dc:creator>
  <dc:language>fr</dc:language>
</cp:coreProperties>
</file>