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Plan de transition saisonnière</w:t>
      </w:r>
    </w:p>
    <w:p>
      <w:pPr>
        <w:spacing w:after="200"/>
      </w:pPr>
      <w:r>
        <w:rPr>
          <w:rFonts w:ascii="Arial" w:hAnsi="Arial" w:cs="Arial"/>
          <w:color w:val="5F6B76"/>
          <w:sz w:val="20"/>
        </w:rPr>
        <w:t xml:space="preserve">Identifiez les éléments à ranger, renouveler ou préparer lors d’un changement de saison.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klarstig.ai/fr/templates/board-game-cafe-season-changeover-plan-tl-05950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https://klarstig.ai/fr/templates/board-game-cafe-season-changeover-plan-tl-05950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season-changeover-plan-tl-059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season-changeover-plan-tl-05950" TargetMode="External"/></Relationships>
</file>

<file path=docProps/core.xml><?xml version="1.0" encoding="utf-8"?>
<cp:coreProperties xmlns:cp="http://schemas.openxmlformats.org/package/2006/metadata/core-properties" xmlns:dc="http://purl.org/dc/elements/1.1/">
  <dc:title>Café de jeux de société — Plan de transition saisonnière</dc:title>
  <dc:creator>Klarstig</dc:creator>
  <dc:language>fr</dc:language>
</cp:coreProperties>
</file>