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Plan de repli selon la météo</w:t>
      </w:r>
    </w:p>
    <w:p>
      <w:pPr>
        <w:spacing w:after="200"/>
      </w:pPr>
      <w:r>
        <w:rPr>
          <w:rFonts w:ascii="Arial" w:hAnsi="Arial" w:cs="Arial"/>
          <w:color w:val="5F6B76"/>
          <w:sz w:val="20"/>
        </w:rPr>
        <w:t xml:space="preserve">Prévoyez une solution de repli si la météo perturbe une activité.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klarstig.ai/fr/templates/board-game-cafe-weather-contingency-plan-tl-05050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https://klarstig.ai/fr/templates/board-game-cafe-weather-contingency-plan-tl-05050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weather-contingency-plan-tl-050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weather-contingency-plan-tl-05050" TargetMode="External"/></Relationships>
</file>

<file path=docProps/core.xml><?xml version="1.0" encoding="utf-8"?>
<cp:coreProperties xmlns:cp="http://schemas.openxmlformats.org/package/2006/metadata/core-properties" xmlns:dc="http://purl.org/dc/elements/1.1/">
  <dc:title>Café de jeux de société — Plan de repli selon la météo</dc:title>
  <dc:creator>Klarstig</dc:creator>
  <dc:language>fr</dc:language>
</cp:coreProperties>
</file>