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de reprogrammation d’activité</w:t>
      </w:r>
    </w:p>
    <w:p>
      <w:pPr>
        <w:spacing w:after="200"/>
      </w:pPr>
      <w:r>
        <w:rPr>
          <w:rFonts w:ascii="Arial" w:hAnsi="Arial" w:cs="Arial"/>
          <w:color w:val="5F6B76"/>
          <w:sz w:val="20"/>
        </w:rPr>
        <w:t xml:space="preserve">Recueillez les contraintes à résoudre avant de déplacer une activité.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klarstig.ai/fr/templates/campground-activity-rescheduling-brief-tl-03892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https://klarstig.ai/fr/templates/campground-activity-rescheduling-brief-tl-03892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activity-rescheduling-brief-tl-038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activity-rescheduling-brief-tl-03892" TargetMode="External"/></Relationships>
</file>

<file path=docProps/core.xml><?xml version="1.0" encoding="utf-8"?>
<cp:coreProperties xmlns:cp="http://schemas.openxmlformats.org/package/2006/metadata/core-properties" xmlns:dc="http://purl.org/dc/elements/1.1/">
  <dc:title>Terrain de camping — Fiche de reprogrammation d’activité</dc:title>
  <dc:creator>Klarstig</dc:creator>
  <dc:language>fr</dc:language>
</cp:coreProperties>
</file>