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Organisation d’une arrivée tardive</w:t>
      </w:r>
    </w:p>
    <w:p>
      <w:pPr>
        <w:spacing w:after="200"/>
      </w:pPr>
      <w:r>
        <w:rPr>
          <w:rFonts w:ascii="Arial" w:hAnsi="Arial" w:cs="Arial"/>
          <w:color w:val="5F6B76"/>
          <w:sz w:val="20"/>
        </w:rPr>
        <w:t xml:space="preserve">Consignez une arrivée tardive prévue et les dispositions nécessaires à son accueil.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klarstig.ai/fr/templates/catering-kitchen-late-arrival-coordination-tl-03913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https://klarstig.ai/fr/templates/catering-kitchen-late-arrival-coordination-tl-03913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late-arrival-coordination-tl-039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late-arrival-coordination-tl-03913" TargetMode="External"/></Relationships>
</file>

<file path=docProps/core.xml><?xml version="1.0" encoding="utf-8"?>
<cp:coreProperties xmlns:cp="http://schemas.openxmlformats.org/package/2006/metadata/core-properties" xmlns:dc="http://purl.org/dc/elements/1.1/">
  <dc:title>Cuisine de traiteur — Organisation d’une arrivée tardive</dc:title>
  <dc:creator>Klarstig</dc:creator>
  <dc:language>fr</dc:language>
</cp:coreProperties>
</file>