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retrait en réserve</w:t>
      </w:r>
    </w:p>
    <w:p>
      <w:pPr>
        <w:spacing w:after="200"/>
      </w:pPr>
      <w:r>
        <w:rPr>
          <w:rFonts w:ascii="Arial" w:hAnsi="Arial" w:cs="Arial"/>
          <w:color w:val="5F6B76"/>
          <w:sz w:val="20"/>
        </w:rPr>
        <w:t xml:space="preserve">Identifiez un article à retirer de la réserve et les conditions pratiques de sa recherche.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klarstig.ai/fr/templates/cleaning-service-team-storage-retrieval-request-tl-05467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https://klarstig.ai/fr/templates/cleaning-service-team-storage-retrieval-request-tl-05467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torage-retrieval-request-tl-054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torage-retrieval-request-tl-05467" TargetMode="External"/></Relationships>
</file>

<file path=docProps/core.xml><?xml version="1.0" encoding="utf-8"?>
<cp:coreProperties xmlns:cp="http://schemas.openxmlformats.org/package/2006/metadata/core-properties" xmlns:dc="http://purl.org/dc/elements/1.1/">
  <dc:title>Équipe de nettoyage — Demande de retrait en réserve</dc:title>
  <dc:creator>Klarstig</dc:creator>
  <dc:language>fr</dc:language>
</cp:coreProperties>
</file>