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Contrôle d’un échantillon de qualité</w:t>
      </w:r>
    </w:p>
    <w:p>
      <w:pPr>
        <w:spacing w:after="200"/>
      </w:pPr>
      <w:r>
        <w:rPr>
          <w:rFonts w:ascii="Arial" w:hAnsi="Arial" w:cs="Arial"/>
          <w:color w:val="5F6B76"/>
          <w:sz w:val="20"/>
        </w:rPr>
        <w:t xml:space="preserve">Consignez un contrôle par échantillon, les critères appliqués et ses limites.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klarstig.ai/fr/templates/climbing-centre-quality-sample-check-tl-04489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https://klarstig.ai/fr/templates/climbing-centre-quality-sample-check-tl-04489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quality-sample-check-tl-044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quality-sample-check-tl-04489" TargetMode="External"/></Relationships>
</file>

<file path=docProps/core.xml><?xml version="1.0" encoding="utf-8"?>
<cp:coreProperties xmlns:cp="http://schemas.openxmlformats.org/package/2006/metadata/core-properties" xmlns:dc="http://purl.org/dc/elements/1.1/">
  <dc:title>Salle d’escalade — Contrôle d’un échantillon de qualité</dc:title>
  <dc:creator>Klarstig</dc:creator>
  <dc:language>fr</dc:language>
</cp:coreProperties>
</file>