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Consignes de reprise</w:t>
      </w:r>
    </w:p>
    <w:p>
      <w:pPr>
        <w:spacing w:after="200"/>
      </w:pPr>
      <w:r>
        <w:rPr>
          <w:rFonts w:ascii="Arial" w:hAnsi="Arial" w:cs="Arial"/>
          <w:color w:val="5F6B76"/>
          <w:sz w:val="20"/>
        </w:rPr>
        <w:t xml:space="preserve">Précisez la partie du travail à reprendre et son mode de vérification.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klarstig.ai/fr/templates/community-food-pantry-rework-instructions-tl-04401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https://klarstig.ai/fr/templates/community-food-pantry-rework-instructions-tl-04401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rework-instructions-tl-0440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rework-instructions-tl-04401" TargetMode="External"/></Relationships>
</file>

<file path=docProps/core.xml><?xml version="1.0" encoding="utf-8"?>
<cp:coreProperties xmlns:cp="http://schemas.openxmlformats.org/package/2006/metadata/core-properties" xmlns:dc="http://purl.org/dc/elements/1.1/">
  <dc:title>Épicerie solidaire — Consignes de reprise</dc:title>
  <dc:creator>Klarstig</dc:creator>
  <dc:language>fr</dc:language>
</cp:coreProperties>
</file>