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Consignes de remise en place d’un espace</w:t>
      </w:r>
    </w:p>
    <w:p>
      <w:pPr>
        <w:spacing w:after="200"/>
      </w:pPr>
      <w:r>
        <w:rPr>
          <w:rFonts w:ascii="Arial" w:hAnsi="Arial" w:cs="Arial"/>
          <w:color w:val="5F6B76"/>
          <w:sz w:val="20"/>
        </w:rPr>
        <w:t xml:space="preserve">Précisez l’agencement et le matériel nécessaires au changement d’usage d’un espace.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klarstig.ai/fr/templates/community-food-pantry-workspace-reset-instructions-tl-03501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https://klarstig.ai/fr/templates/community-food-pantry-workspace-reset-instructions-tl-03501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workspace-reset-instructions-tl-035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workspace-reset-instructions-tl-03501" TargetMode="External"/></Relationships>
</file>

<file path=docProps/core.xml><?xml version="1.0" encoding="utf-8"?>
<cp:coreProperties xmlns:cp="http://schemas.openxmlformats.org/package/2006/metadata/core-properties" xmlns:dc="http://purl.org/dc/elements/1.1/">
  <dc:title>Épicerie solidaire — Consignes de remise en place d’un espace</dc:title>
  <dc:creator>Klarstig</dc:creator>
  <dc:language>fr</dc:language>
</cp:coreProperties>
</file>