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Horaires d’ouverture exceptionnels</w:t>
      </w:r>
    </w:p>
    <w:p>
      <w:pPr>
        <w:spacing w:after="200"/>
      </w:pPr>
      <w:r>
        <w:rPr>
          <w:rFonts w:ascii="Arial" w:hAnsi="Arial" w:cs="Arial"/>
          <w:color w:val="5F6B76"/>
          <w:sz w:val="20"/>
        </w:rPr>
        <w:t xml:space="preserve">Consignez une modification ponctuelle d’horaires et son impact sur les activités prévues.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klarstig.ai/fr/templates/community-kitchen-exceptional-opening-hours-tl-04982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https://klarstig.ai/fr/templates/community-kitchen-exceptional-opening-hours-tl-04982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exceptional-opening-hours-tl-049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exceptional-opening-hours-tl-04982" TargetMode="External"/></Relationships>
</file>

<file path=docProps/core.xml><?xml version="1.0" encoding="utf-8"?>
<cp:coreProperties xmlns:cp="http://schemas.openxmlformats.org/package/2006/metadata/core-properties" xmlns:dc="http://purl.org/dc/elements/1.1/">
  <dc:title>Cuisine collective — Horaires d’ouverture exceptionnels</dc:title>
  <dc:creator>Klarstig</dc:creator>
  <dc:language>fr</dc:language>
</cp:coreProperties>
</file>