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reprogrammation d’activité</w:t>
      </w:r>
    </w:p>
    <w:p>
      <w:pPr>
        <w:spacing w:after="200"/>
      </w:pPr>
      <w:r>
        <w:rPr>
          <w:rFonts w:ascii="Arial" w:hAnsi="Arial" w:cs="Arial"/>
          <w:color w:val="5F6B76"/>
          <w:sz w:val="20"/>
        </w:rPr>
        <w:t xml:space="preserve">Recueillez les contraintes à résoudre avant de déplacer une activité.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klarstig.ai/fr/templates/cycle-hire-station-activity-rescheduling-brief-tl-03891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https://klarstig.ai/fr/templates/cycle-hire-station-activity-rescheduling-brief-tl-03891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activity-rescheduling-brief-tl-038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activity-rescheduling-brief-tl-03891" TargetMode="External"/></Relationships>
</file>

<file path=docProps/core.xml><?xml version="1.0" encoding="utf-8"?>
<cp:coreProperties xmlns:cp="http://schemas.openxmlformats.org/package/2006/metadata/core-properties" xmlns:dc="http://purl.org/dc/elements/1.1/">
  <dc:title>Station de location de vélos — Fiche de reprogrammation d’activité</dc:title>
  <dc:creator>Klarstig</dc:creator>
  <dc:language>fr</dc:language>
</cp:coreProperties>
</file>