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Registre des objets trouvés</w:t>
      </w:r>
    </w:p>
    <w:p>
      <w:pPr>
        <w:spacing w:after="200"/>
      </w:pPr>
      <w:r>
        <w:rPr>
          <w:rFonts w:ascii="Arial" w:hAnsi="Arial" w:cs="Arial"/>
          <w:color w:val="5F6B76"/>
          <w:sz w:val="20"/>
        </w:rPr>
        <w:t xml:space="preserve">Consignez un objet trouvé et ses modalités de garde sans publier de détails identifiants.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klarstig.ai/fr/templates/event-equipment-rental-found-property-register-tl-04225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https://klarstig.ai/fr/templates/event-equipment-rental-found-property-register-tl-04225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found-property-register-tl-042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found-property-register-tl-04225" TargetMode="External"/></Relationships>
</file>

<file path=docProps/core.xml><?xml version="1.0" encoding="utf-8"?>
<cp:coreProperties xmlns:cp="http://schemas.openxmlformats.org/package/2006/metadata/core-properties" xmlns:dc="http://purl.org/dc/elements/1.1/">
  <dc:title>Location de matériel événementiel — Registre des objets trouvés</dc:title>
  <dc:creator>Klarstig</dc:creator>
  <dc:language>fr</dc:language>
</cp:coreProperties>
</file>