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Évaluation du parcours d’orientation</w:t>
      </w:r>
    </w:p>
    <w:p>
      <w:pPr>
        <w:spacing w:after="200"/>
      </w:pPr>
      <w:r>
        <w:rPr>
          <w:rFonts w:ascii="Arial" w:hAnsi="Arial" w:cs="Arial"/>
          <w:color w:val="5F6B76"/>
          <w:sz w:val="20"/>
        </w:rPr>
        <w:t xml:space="preserve">Repérez les points où les visiteurs se perdent et les indications à améliorer.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klarstig.ai/fr/templates/event-equipment-rental-visitor-wayfinding-walkthrough-tl-03625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https://klarstig.ai/fr/templates/event-equipment-rental-visitor-wayfinding-walkthrough-tl-03625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visitor-wayfinding-walkthrough-tl-036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visitor-wayfinding-walkthrough-tl-03625" TargetMode="External"/></Relationships>
</file>

<file path=docProps/core.xml><?xml version="1.0" encoding="utf-8"?>
<cp:coreProperties xmlns:cp="http://schemas.openxmlformats.org/package/2006/metadata/core-properties" xmlns:dc="http://purl.org/dc/elements/1.1/">
  <dc:title>Location de matériel événementiel — Évaluation du parcours d’orientation</dc:title>
  <dc:creator>Klarstig</dc:creator>
  <dc:language>fr</dc:language>
</cp:coreProperties>
</file>