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Suivi de capacité opérationnelle</w:t>
      </w:r>
    </w:p>
    <w:p>
      <w:pPr>
        <w:spacing w:after="200"/>
      </w:pPr>
      <w:r>
        <w:rPr>
          <w:rFonts w:ascii="Arial" w:hAnsi="Arial" w:cs="Arial"/>
          <w:color w:val="5F6B76"/>
          <w:sz w:val="20"/>
        </w:rPr>
        <w:t xml:space="preserve">Suivez un indicateur de capacité et les besoins éventuels de ressources supplémentaires.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 capacité opérationnelle</w:t>
      </w:r>
    </w:p>
    <w:p>
      <w:pPr>
        <w:spacing w:after="40"/>
      </w:pPr>
      <w:r>
        <w:rPr>
          <w:rFonts w:ascii="Arial" w:hAnsi="Arial" w:cs="Arial"/>
          <w:b/>
          <w:color w:val="173247"/>
          <w:sz w:val="21"/>
        </w:rPr>
        <w:t xml:space="preserve">Indicateur de capacité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disponible, demande engagée et unités de mesure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Seuil convenu pour une alerte interne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Réponse prévue si la demande atteint ce seuil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klarstig.ai/fr/templates/farm-shop-operating-capacity-watch-tl-04344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Suivi de capacité opérationnelle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https://klarstig.ai/fr/templates/farm-shop-operating-capacity-watch-tl-04344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operating-capacity-watch-tl-043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operating-capacity-watch-tl-04344" TargetMode="External"/></Relationships>
</file>

<file path=docProps/core.xml><?xml version="1.0" encoding="utf-8"?>
<cp:coreProperties xmlns:cp="http://schemas.openxmlformats.org/package/2006/metadata/core-properties" xmlns:dc="http://purl.org/dc/elements/1.1/">
  <dc:title>Boutique à la ferme — Suivi de capacité opérationnelle</dc:title>
  <dc:creator>Klarstig</dc:creator>
  <dc:language>fr</dc:language>
</cp:coreProperties>
</file>