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Contrôle de rotation des stocks</w:t>
      </w:r>
    </w:p>
    <w:p>
      <w:pPr>
        <w:spacing w:after="200"/>
      </w:pPr>
      <w:r>
        <w:rPr>
          <w:rFonts w:ascii="Arial" w:hAnsi="Arial" w:cs="Arial"/>
          <w:color w:val="5F6B76"/>
          <w:sz w:val="20"/>
        </w:rPr>
        <w:t xml:space="preserve">Vérifiez l’ordre d’utilisation des fournitures et repérez les stocks à examiner.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klarstig.ai/fr/templates/farm-shop-stock-rotation-review-tl-03294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https://klarstig.ai/fr/templates/farm-shop-stock-rotation-review-tl-03294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stock-rotation-review-tl-032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stock-rotation-review-tl-03294" TargetMode="External"/></Relationships>
</file>

<file path=docProps/core.xml><?xml version="1.0" encoding="utf-8"?>
<cp:coreProperties xmlns:cp="http://schemas.openxmlformats.org/package/2006/metadata/core-properties" xmlns:dc="http://purl.org/dc/elements/1.1/">
  <dc:title>Boutique à la ferme — Contrôle de rotation des stocks</dc:title>
  <dc:creator>Klarstig</dc:creator>
  <dc:language>fr</dc:language>
</cp:coreProperties>
</file>