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klarstig.ai/fr/templates/farm-shop-unused-slot-reallocation-tl-03844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https://klarstig.ai/fr/templates/farm-shop-unused-slot-reallocation-tl-03844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unused-slot-reallocation-tl-038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unused-slot-reallocation-tl-03844" TargetMode="External"/></Relationships>
</file>

<file path=docProps/core.xml><?xml version="1.0" encoding="utf-8"?>
<cp:coreProperties xmlns:cp="http://schemas.openxmlformats.org/package/2006/metadata/core-properties" xmlns:dc="http://purl.org/dc/elements/1.1/">
  <dc:title>Boutique à la ferme — Réaffectation d’un créneau inutilisé</dc:title>
  <dc:creator>Klarstig</dc:creator>
  <dc:language>fr</dc:language>
</cp:coreProperties>
</file>