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Observation du tri des déchets</w:t>
      </w:r>
    </w:p>
    <w:p>
      <w:pPr>
        <w:spacing w:after="200"/>
      </w:pPr>
      <w:r>
        <w:rPr>
          <w:rFonts w:ascii="Arial" w:hAnsi="Arial" w:cs="Arial"/>
          <w:color w:val="5F6B76"/>
          <w:sz w:val="20"/>
        </w:rPr>
        <w:t xml:space="preserve">Consignez les problèmes pratiques de tri et les améliorations des points de collecte.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klarstig.ai/fr/templates/furniture-restoration-workshop-waste-sorting-observation-tl-05347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https://klarstig.ai/fr/templates/furniture-restoration-workshop-waste-sorting-observation-tl-05347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waste-sorting-observation-tl-053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waste-sorting-observation-tl-05347" TargetMode="External"/></Relationships>
</file>

<file path=docProps/core.xml><?xml version="1.0" encoding="utf-8"?>
<cp:coreProperties xmlns:cp="http://schemas.openxmlformats.org/package/2006/metadata/core-properties" xmlns:dc="http://purl.org/dc/elements/1.1/">
  <dc:title>Atelier de restauration de meubles — Observation du tri des déchets</dc:title>
  <dc:creator>Klarstig</dc:creator>
  <dc:language>fr</dc:language>
</cp:coreProperties>
</file>