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Maison d’hôtes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Maison d’hôtes.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Maison d’hôtes</w:t>
      </w:r>
    </w:p>
    <w:p>
      <w:pPr>
        <w:spacing w:after="40"/>
      </w:pPr>
      <w:r>
        <w:rPr>
          <w:rFonts w:ascii="Arial" w:hAnsi="Arial" w:cs="Arial"/>
          <w:b/>
          <w:color w:val="173247"/>
          <w:sz w:val="21"/>
        </w:rPr>
        <w:t xml:space="preserve">Chambre, espace commun ou référence de séjour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Lot de linge, kit d’accueil ou équipement de chambre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de remise en état, heures calmes ou coordination des arrivées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klarstig.ai/fr/templates/guesthouse-task-practice-observation-tl-04723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Maison d’hôtes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https://klarstig.ai/fr/templates/guesthouse-task-practice-observation-tl-04723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guesthouse-task-practice-observation-tl-0472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guesthouse-task-practice-observation-tl-04723" TargetMode="External"/></Relationships>
</file>

<file path=docProps/core.xml><?xml version="1.0" encoding="utf-8"?>
<cp:coreProperties xmlns:cp="http://schemas.openxmlformats.org/package/2006/metadata/core-properties" xmlns:dc="http://purl.org/dc/elements/1.1/">
  <dc:title>Maison d’hôtes — Observation d’un exercice pratique</dc:title>
  <dc:creator>Klarstig</dc:creator>
  <dc:language>fr</dc:language>
</cp:coreProperties>
</file>