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Librairie indépendante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Librairie indépendante.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Librairie indépendante</w:t>
      </w:r>
    </w:p>
    <w:p>
      <w:pPr>
        <w:spacing w:after="40"/>
      </w:pPr>
      <w:r>
        <w:rPr>
          <w:rFonts w:ascii="Arial" w:hAnsi="Arial" w:cs="Arial"/>
          <w:b/>
          <w:color w:val="173247"/>
          <w:sz w:val="21"/>
        </w:rPr>
        <w:t xml:space="preserve">Rayon, lot de commandes ou rencontre littéraire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Titre, édition ou référence de stock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rangement, exemplaires réservés ou besoins de tables d’animation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klarstig.ai/fr/templates/independent-bookshop-consumable-restock-request-tl-03161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Librairie indépendante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https://klarstig.ai/fr/templates/independent-bookshop-consumable-restock-request-tl-03161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bookshop-consumable-restock-request-tl-0316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bookshop-consumable-restock-request-tl-03161" TargetMode="External"/></Relationships>
</file>

<file path=docProps/core.xml><?xml version="1.0" encoding="utf-8"?>
<cp:coreProperties xmlns:cp="http://schemas.openxmlformats.org/package/2006/metadata/core-properties" xmlns:dc="http://purl.org/dc/elements/1.1/">
  <dc:title>Librairie indépendante — Demande de réapprovisionnement en consommables</dc:title>
  <dc:creator>Klarstig</dc:creator>
  <dc:language>fr</dc:language>
</cp:coreProperties>
</file>